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24F8" w14:textId="0A6BAD3E" w:rsidR="0094748E" w:rsidRPr="00693A3D" w:rsidRDefault="0094748E" w:rsidP="008C3120">
      <w:pPr>
        <w:jc w:val="center"/>
        <w:rPr>
          <w:b/>
          <w:i/>
          <w:sz w:val="24"/>
          <w:szCs w:val="24"/>
        </w:rPr>
      </w:pPr>
      <w:r w:rsidRPr="00693A3D">
        <w:rPr>
          <w:b/>
          <w:i/>
          <w:sz w:val="24"/>
          <w:szCs w:val="24"/>
        </w:rPr>
        <w:t>Propuesta de Investigación</w:t>
      </w:r>
      <w:r w:rsidR="00B31799">
        <w:rPr>
          <w:b/>
          <w:i/>
          <w:sz w:val="24"/>
          <w:szCs w:val="24"/>
        </w:rPr>
        <w:t xml:space="preserve"> coordinada por GIFID</w:t>
      </w:r>
      <w:r w:rsidR="0075477C">
        <w:rPr>
          <w:b/>
          <w:i/>
          <w:sz w:val="24"/>
          <w:szCs w:val="24"/>
        </w:rPr>
        <w:t>.</w:t>
      </w:r>
    </w:p>
    <w:p w14:paraId="2727085C" w14:textId="77777777" w:rsidR="0094748E" w:rsidRPr="00693A3D" w:rsidRDefault="00ED5981" w:rsidP="00CF7FD8">
      <w:pPr>
        <w:jc w:val="both"/>
        <w:rPr>
          <w:color w:val="2E74B5" w:themeColor="accent1" w:themeShade="BF"/>
          <w:sz w:val="20"/>
          <w:szCs w:val="20"/>
        </w:rPr>
      </w:pPr>
      <w:r w:rsidRPr="00693A3D">
        <w:rPr>
          <w:color w:val="2E74B5" w:themeColor="accent1" w:themeShade="BF"/>
          <w:sz w:val="20"/>
          <w:szCs w:val="20"/>
        </w:rPr>
        <w:t>Presentación de GIFID</w:t>
      </w:r>
    </w:p>
    <w:p w14:paraId="2308D6BE" w14:textId="284D6AF0" w:rsidR="00B0499B" w:rsidRPr="00693A3D" w:rsidRDefault="41D5C35B" w:rsidP="00487A87">
      <w:pPr>
        <w:jc w:val="both"/>
        <w:rPr>
          <w:rFonts w:ascii="Calibri" w:hAnsi="Calibri"/>
          <w:sz w:val="20"/>
          <w:szCs w:val="20"/>
          <w:lang w:val="es-ES_tradnl"/>
        </w:rPr>
      </w:pPr>
      <w:r w:rsidRPr="00693A3D">
        <w:rPr>
          <w:sz w:val="20"/>
          <w:szCs w:val="20"/>
        </w:rPr>
        <w:t>Desde el año 2010, docentes de la Facultad de Ciencias Sociales y Humanísticas (FCSH) de ESPOL empezaron a vincularse con organizaciones de la sociedad civil como Jubileo 2000 Red Ecuador (JRE2000) y sus redes internacionales aliadas,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 xml:space="preserve"> para compartir su criterio técnico sobre temas de interés local y regional.</w:t>
      </w:r>
      <w:r w:rsidRPr="00693A3D">
        <w:rPr>
          <w:sz w:val="20"/>
          <w:szCs w:val="20"/>
        </w:rPr>
        <w:t xml:space="preserve"> En octubre de 2015, 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 xml:space="preserve">se formalizó la cooperación interinstitucional entre JRE2000 y ESPOL mediante la firma de un </w:t>
      </w:r>
      <w:r w:rsidRPr="00693A3D">
        <w:rPr>
          <w:rFonts w:ascii="Calibri" w:eastAsia="Calibri" w:hAnsi="Calibri" w:cs="Calibri"/>
          <w:sz w:val="20"/>
          <w:szCs w:val="20"/>
        </w:rPr>
        <w:t>convenio.</w:t>
      </w:r>
    </w:p>
    <w:p w14:paraId="667F2B64" w14:textId="11F33685" w:rsidR="006B305D" w:rsidRPr="00693A3D" w:rsidRDefault="00C6000B" w:rsidP="006B305D">
      <w:pPr>
        <w:jc w:val="both"/>
        <w:rPr>
          <w:rFonts w:ascii="Calibri" w:hAnsi="Calibri"/>
          <w:sz w:val="20"/>
          <w:szCs w:val="20"/>
          <w:lang w:val="es-ES_tradnl"/>
        </w:rPr>
      </w:pPr>
      <w:r w:rsidRPr="00693A3D">
        <w:rPr>
          <w:rFonts w:ascii="Calibri" w:eastAsia="Calibri" w:hAnsi="Calibri" w:cs="Calibri"/>
          <w:sz w:val="20"/>
          <w:szCs w:val="20"/>
          <w:lang w:val="es-ES"/>
        </w:rPr>
        <w:t xml:space="preserve">Esto </w:t>
      </w:r>
      <w:r w:rsidR="00556D01" w:rsidRPr="00693A3D">
        <w:rPr>
          <w:rFonts w:ascii="Calibri" w:eastAsia="Calibri" w:hAnsi="Calibri" w:cs="Calibri"/>
          <w:sz w:val="20"/>
          <w:szCs w:val="20"/>
          <w:lang w:val="es-ES"/>
        </w:rPr>
        <w:t>dio</w:t>
      </w:r>
      <w:r w:rsidR="41D5C35B" w:rsidRPr="00693A3D">
        <w:rPr>
          <w:rFonts w:ascii="Calibri" w:eastAsia="Calibri" w:hAnsi="Calibri" w:cs="Calibri"/>
          <w:sz w:val="20"/>
          <w:szCs w:val="20"/>
          <w:lang w:val="es-ES"/>
        </w:rPr>
        <w:t xml:space="preserve"> lugar a la creación del Grupo Internacional de Fiscalidad Internacional y Desarrollo (GIFID), que busca generar sinergias mediante la construcción de un espacio de interacción 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>estructurado mediante la</w:t>
      </w:r>
      <w:r w:rsidR="41D5C35B" w:rsidRPr="00693A3D">
        <w:rPr>
          <w:rFonts w:ascii="Calibri" w:eastAsia="Calibri" w:hAnsi="Calibri" w:cs="Calibri"/>
          <w:sz w:val="20"/>
          <w:szCs w:val="20"/>
          <w:lang w:val="es-ES"/>
        </w:rPr>
        <w:t xml:space="preserve"> definición de líneas de trabajo conjuntas y la creación de procesos para el desarrollo de pro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>ductos científicos desde ESPOL. S</w:t>
      </w:r>
      <w:r w:rsidR="41D5C35B" w:rsidRPr="00693A3D">
        <w:rPr>
          <w:rFonts w:ascii="Calibri" w:eastAsia="Calibri" w:hAnsi="Calibri" w:cs="Calibri"/>
          <w:sz w:val="20"/>
          <w:szCs w:val="20"/>
          <w:lang w:val="es-ES"/>
        </w:rPr>
        <w:t>e espera que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 xml:space="preserve"> estos trabajos constituyan </w:t>
      </w:r>
      <w:r w:rsidR="41D5C35B" w:rsidRPr="00693A3D">
        <w:rPr>
          <w:rFonts w:ascii="Calibri" w:eastAsia="Calibri" w:hAnsi="Calibri" w:cs="Calibri"/>
          <w:sz w:val="20"/>
          <w:szCs w:val="20"/>
          <w:lang w:val="es-ES"/>
        </w:rPr>
        <w:t xml:space="preserve">una plataforma para el posicionamiento de los 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>temas publicados, también</w:t>
      </w:r>
      <w:r w:rsidR="41D5C35B" w:rsidRPr="00693A3D">
        <w:rPr>
          <w:rFonts w:ascii="Calibri" w:eastAsia="Calibri" w:hAnsi="Calibri" w:cs="Calibri"/>
          <w:sz w:val="20"/>
          <w:szCs w:val="20"/>
          <w:lang w:val="es-ES"/>
        </w:rPr>
        <w:t xml:space="preserve"> en escenarios </w:t>
      </w:r>
      <w:r w:rsidRPr="00693A3D">
        <w:rPr>
          <w:rFonts w:ascii="Calibri" w:eastAsia="Calibri" w:hAnsi="Calibri" w:cs="Calibri"/>
          <w:sz w:val="20"/>
          <w:szCs w:val="20"/>
          <w:lang w:val="es-ES"/>
        </w:rPr>
        <w:t>de incidencia</w:t>
      </w:r>
      <w:r w:rsidR="41D5C35B" w:rsidRPr="00693A3D">
        <w:rPr>
          <w:rFonts w:ascii="Calibri" w:eastAsia="Calibri" w:hAnsi="Calibri" w:cs="Calibri"/>
          <w:sz w:val="20"/>
          <w:szCs w:val="20"/>
          <w:lang w:val="es-ES"/>
        </w:rPr>
        <w:t xml:space="preserve"> nacional e internacional. </w:t>
      </w:r>
    </w:p>
    <w:p w14:paraId="1A8C1EF6" w14:textId="77777777" w:rsidR="0094748E" w:rsidRPr="00693A3D" w:rsidRDefault="00700EB5" w:rsidP="00CF7FD8">
      <w:pPr>
        <w:jc w:val="both"/>
        <w:rPr>
          <w:color w:val="2E74B5" w:themeColor="accent1" w:themeShade="BF"/>
          <w:sz w:val="20"/>
          <w:szCs w:val="20"/>
        </w:rPr>
      </w:pPr>
      <w:r w:rsidRPr="00693A3D">
        <w:rPr>
          <w:color w:val="2E74B5" w:themeColor="accent1" w:themeShade="BF"/>
          <w:sz w:val="20"/>
          <w:szCs w:val="20"/>
        </w:rPr>
        <w:t>Objetivo</w:t>
      </w:r>
    </w:p>
    <w:p w14:paraId="2ADEF3E3" w14:textId="3D558823" w:rsidR="009E0C37" w:rsidRPr="00693A3D" w:rsidRDefault="002662E2" w:rsidP="00CF7FD8">
      <w:pPr>
        <w:jc w:val="both"/>
        <w:rPr>
          <w:sz w:val="20"/>
          <w:szCs w:val="20"/>
          <w:lang w:val="es-ES_tradnl"/>
        </w:rPr>
      </w:pPr>
      <w:r w:rsidRPr="00693A3D">
        <w:rPr>
          <w:sz w:val="20"/>
          <w:szCs w:val="20"/>
          <w:lang w:val="es-ES"/>
        </w:rPr>
        <w:t xml:space="preserve">Generar </w:t>
      </w:r>
      <w:r w:rsidR="41D5C35B" w:rsidRPr="00693A3D">
        <w:rPr>
          <w:sz w:val="20"/>
          <w:szCs w:val="20"/>
          <w:lang w:val="es-ES"/>
        </w:rPr>
        <w:t xml:space="preserve">investigación </w:t>
      </w:r>
      <w:r w:rsidR="41D5C35B" w:rsidRPr="00693A3D">
        <w:rPr>
          <w:rFonts w:ascii="Calibri" w:eastAsia="Calibri" w:hAnsi="Calibri" w:cs="Calibri"/>
          <w:sz w:val="20"/>
          <w:szCs w:val="20"/>
        </w:rPr>
        <w:t>con pertinencia local y global</w:t>
      </w:r>
      <w:r w:rsidR="41D5C35B" w:rsidRPr="00693A3D">
        <w:rPr>
          <w:sz w:val="20"/>
          <w:szCs w:val="20"/>
          <w:lang w:val="es-ES"/>
        </w:rPr>
        <w:t xml:space="preserve"> en torno a las áreas de conocimiento de interés de los</w:t>
      </w:r>
      <w:r w:rsidR="003A66F0" w:rsidRPr="00693A3D">
        <w:rPr>
          <w:sz w:val="20"/>
          <w:szCs w:val="20"/>
          <w:lang w:val="es-ES"/>
        </w:rPr>
        <w:t xml:space="preserve"> entes</w:t>
      </w:r>
      <w:r w:rsidR="41D5C35B" w:rsidRPr="00693A3D">
        <w:rPr>
          <w:sz w:val="20"/>
          <w:szCs w:val="20"/>
          <w:lang w:val="es-ES"/>
        </w:rPr>
        <w:t xml:space="preserve"> cooperantes.</w:t>
      </w:r>
    </w:p>
    <w:p w14:paraId="6360567D" w14:textId="77777777" w:rsidR="00287F7E" w:rsidRPr="00693A3D" w:rsidRDefault="00361244" w:rsidP="00CF7FD8">
      <w:pPr>
        <w:jc w:val="both"/>
        <w:rPr>
          <w:color w:val="2E74B5" w:themeColor="accent1" w:themeShade="BF"/>
          <w:sz w:val="20"/>
          <w:szCs w:val="20"/>
        </w:rPr>
      </w:pPr>
      <w:r w:rsidRPr="00693A3D">
        <w:rPr>
          <w:color w:val="2E74B5" w:themeColor="accent1" w:themeShade="BF"/>
          <w:sz w:val="20"/>
          <w:szCs w:val="20"/>
        </w:rPr>
        <w:t>Áreas de</w:t>
      </w:r>
      <w:r w:rsidR="005D37A4" w:rsidRPr="00693A3D">
        <w:rPr>
          <w:color w:val="2E74B5" w:themeColor="accent1" w:themeShade="BF"/>
          <w:sz w:val="20"/>
          <w:szCs w:val="20"/>
        </w:rPr>
        <w:t xml:space="preserve"> Conocimiento</w:t>
      </w:r>
      <w:r w:rsidRPr="00693A3D">
        <w:rPr>
          <w:color w:val="2E74B5" w:themeColor="accent1" w:themeShade="BF"/>
          <w:sz w:val="20"/>
          <w:szCs w:val="20"/>
        </w:rPr>
        <w:t xml:space="preserve"> </w:t>
      </w:r>
    </w:p>
    <w:p w14:paraId="718B10CA" w14:textId="746A74A6" w:rsidR="00710E32" w:rsidRDefault="002662E2" w:rsidP="00710E32">
      <w:pPr>
        <w:spacing w:after="0" w:line="240" w:lineRule="auto"/>
        <w:jc w:val="both"/>
        <w:rPr>
          <w:sz w:val="20"/>
          <w:szCs w:val="20"/>
          <w:lang w:val="es-ES"/>
        </w:rPr>
      </w:pPr>
      <w:r w:rsidRPr="00693A3D">
        <w:rPr>
          <w:sz w:val="20"/>
          <w:szCs w:val="20"/>
          <w:lang w:val="es-ES"/>
        </w:rPr>
        <w:t>En el marco del convenio, s</w:t>
      </w:r>
      <w:r w:rsidR="41D5C35B" w:rsidRPr="00693A3D">
        <w:rPr>
          <w:sz w:val="20"/>
          <w:szCs w:val="20"/>
          <w:lang w:val="es-ES"/>
        </w:rPr>
        <w:t>e resumen las</w:t>
      </w:r>
      <w:r w:rsidRPr="00693A3D">
        <w:rPr>
          <w:sz w:val="20"/>
          <w:szCs w:val="20"/>
          <w:lang w:val="es-ES"/>
        </w:rPr>
        <w:t xml:space="preserve"> siguientes</w:t>
      </w:r>
      <w:r w:rsidR="41D5C35B" w:rsidRPr="00693A3D">
        <w:rPr>
          <w:sz w:val="20"/>
          <w:szCs w:val="20"/>
          <w:lang w:val="es-ES"/>
        </w:rPr>
        <w:t xml:space="preserve"> áreas de cono</w:t>
      </w:r>
      <w:r w:rsidRPr="00693A3D">
        <w:rPr>
          <w:sz w:val="20"/>
          <w:szCs w:val="20"/>
          <w:lang w:val="es-ES"/>
        </w:rPr>
        <w:t>cimiento con potencial de investigación:</w:t>
      </w:r>
    </w:p>
    <w:p w14:paraId="330A0568" w14:textId="72B4CBB6" w:rsidR="00556D01" w:rsidRDefault="00556D01" w:rsidP="00710E3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1CF805EC" w14:textId="77777777" w:rsidR="00556D01" w:rsidRPr="00693A3D" w:rsidRDefault="00556D01" w:rsidP="00710E3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5560EC89" w14:textId="77777777" w:rsidR="00D03BDC" w:rsidRPr="00693A3D" w:rsidRDefault="00D03BDC" w:rsidP="00710E32">
      <w:pPr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W w:w="3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431"/>
      </w:tblGrid>
      <w:tr w:rsidR="004E2A61" w:rsidRPr="00693A3D" w14:paraId="4E7E9D26" w14:textId="77777777" w:rsidTr="005636AB">
        <w:trPr>
          <w:trHeight w:val="357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18A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#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7E4A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  <w:p w14:paraId="79E046EF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Áreas de conocimiento</w:t>
            </w:r>
          </w:p>
        </w:tc>
      </w:tr>
      <w:tr w:rsidR="004E2A61" w:rsidRPr="00693A3D" w14:paraId="6C85D6DE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7B49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BA41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Fiscalidad internacional</w:t>
            </w:r>
          </w:p>
        </w:tc>
      </w:tr>
      <w:tr w:rsidR="004E2A61" w:rsidRPr="00693A3D" w14:paraId="5CC0DC71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6AC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D2C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Responsabilidad ambiental</w:t>
            </w:r>
          </w:p>
        </w:tc>
      </w:tr>
      <w:tr w:rsidR="004E2A61" w:rsidRPr="00693A3D" w14:paraId="2EBAA56F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0F8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F4A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Industrias extractivas</w:t>
            </w:r>
          </w:p>
        </w:tc>
      </w:tr>
      <w:tr w:rsidR="004E2A61" w:rsidRPr="00693A3D" w14:paraId="43DA9D86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CEF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5F5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Participación ciudadana</w:t>
            </w:r>
          </w:p>
        </w:tc>
      </w:tr>
      <w:tr w:rsidR="004E2A61" w:rsidRPr="00693A3D" w14:paraId="53799354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2C5D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F62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Deuda gubernamental</w:t>
            </w:r>
          </w:p>
        </w:tc>
      </w:tr>
      <w:tr w:rsidR="004E2A61" w:rsidRPr="00693A3D" w14:paraId="563F2278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279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E30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Tratados bilaterales de inversión</w:t>
            </w:r>
          </w:p>
        </w:tc>
      </w:tr>
      <w:tr w:rsidR="004E2A61" w:rsidRPr="00693A3D" w14:paraId="4AF66E54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731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554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Equidad de género</w:t>
            </w:r>
          </w:p>
        </w:tc>
      </w:tr>
      <w:tr w:rsidR="004E2A61" w:rsidRPr="00693A3D" w14:paraId="55D93A42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2CC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9AA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Pueblos y nacionalidades</w:t>
            </w:r>
          </w:p>
        </w:tc>
      </w:tr>
      <w:tr w:rsidR="004E2A61" w:rsidRPr="00693A3D" w14:paraId="6E81484A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624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6E0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Integración financiera</w:t>
            </w:r>
          </w:p>
        </w:tc>
      </w:tr>
      <w:tr w:rsidR="004E2A61" w:rsidRPr="00693A3D" w14:paraId="724C9577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5C2" w14:textId="77777777" w:rsidR="004E2A61" w:rsidRPr="00693A3D" w:rsidRDefault="004E2A61" w:rsidP="004E2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70F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Derechos humanos</w:t>
            </w:r>
          </w:p>
        </w:tc>
      </w:tr>
      <w:tr w:rsidR="004E2A61" w:rsidRPr="00693A3D" w14:paraId="4EFE37CC" w14:textId="77777777" w:rsidTr="005636AB">
        <w:trPr>
          <w:trHeight w:val="24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B709" w14:textId="77777777" w:rsidR="004E2A61" w:rsidRPr="00693A3D" w:rsidRDefault="004E2A61" w:rsidP="004E2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14E" w14:textId="77777777" w:rsidR="004E2A61" w:rsidRPr="00693A3D" w:rsidRDefault="004E2A61" w:rsidP="004E2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693A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"/>
              </w:rPr>
              <w:t>Otros temas de Administración Pública</w:t>
            </w:r>
          </w:p>
        </w:tc>
      </w:tr>
    </w:tbl>
    <w:p w14:paraId="0D29BF38" w14:textId="5FF4470D" w:rsidR="004E2A61" w:rsidRPr="00693A3D" w:rsidRDefault="005D37A4" w:rsidP="002662E2">
      <w:pPr>
        <w:pStyle w:val="Descripcin"/>
        <w:jc w:val="center"/>
        <w:rPr>
          <w:b w:val="0"/>
          <w:color w:val="auto"/>
          <w:sz w:val="20"/>
          <w:szCs w:val="20"/>
        </w:rPr>
      </w:pPr>
      <w:r w:rsidRPr="00693A3D">
        <w:rPr>
          <w:color w:val="auto"/>
          <w:sz w:val="20"/>
          <w:szCs w:val="20"/>
        </w:rPr>
        <w:t xml:space="preserve">Tabla 1: </w:t>
      </w:r>
      <w:r w:rsidRPr="00693A3D">
        <w:rPr>
          <w:b w:val="0"/>
          <w:color w:val="auto"/>
          <w:sz w:val="20"/>
          <w:szCs w:val="20"/>
        </w:rPr>
        <w:t>Áreas de conocimiento - Investigación</w:t>
      </w:r>
    </w:p>
    <w:p w14:paraId="2E4C0BD5" w14:textId="77777777" w:rsidR="00556D01" w:rsidRDefault="00556D01" w:rsidP="00CF7FD8">
      <w:pPr>
        <w:jc w:val="both"/>
        <w:rPr>
          <w:color w:val="2E74B5" w:themeColor="accent1" w:themeShade="BF"/>
          <w:sz w:val="20"/>
          <w:szCs w:val="20"/>
        </w:rPr>
      </w:pPr>
    </w:p>
    <w:p w14:paraId="7D85A110" w14:textId="48382E11" w:rsidR="0052538F" w:rsidRPr="00693A3D" w:rsidRDefault="0052538F" w:rsidP="00CF7FD8">
      <w:pPr>
        <w:jc w:val="both"/>
        <w:rPr>
          <w:color w:val="2E74B5" w:themeColor="accent1" w:themeShade="BF"/>
          <w:sz w:val="20"/>
          <w:szCs w:val="20"/>
        </w:rPr>
      </w:pPr>
      <w:r w:rsidRPr="00693A3D">
        <w:rPr>
          <w:color w:val="2E74B5" w:themeColor="accent1" w:themeShade="BF"/>
          <w:sz w:val="20"/>
          <w:szCs w:val="20"/>
        </w:rPr>
        <w:t>Propuesta</w:t>
      </w:r>
    </w:p>
    <w:p w14:paraId="5BF34540" w14:textId="2892F34A" w:rsidR="00455072" w:rsidRPr="00693A3D" w:rsidRDefault="002662E2" w:rsidP="00CF7FD8">
      <w:pPr>
        <w:jc w:val="both"/>
        <w:rPr>
          <w:sz w:val="20"/>
          <w:szCs w:val="20"/>
          <w:lang w:val="es-ES"/>
        </w:rPr>
      </w:pPr>
      <w:r w:rsidRPr="00693A3D">
        <w:rPr>
          <w:sz w:val="20"/>
          <w:szCs w:val="20"/>
          <w:lang w:val="es-ES"/>
        </w:rPr>
        <w:t>Se</w:t>
      </w:r>
      <w:r w:rsidR="41D5C35B" w:rsidRPr="00693A3D">
        <w:rPr>
          <w:sz w:val="20"/>
          <w:szCs w:val="20"/>
          <w:lang w:val="es-ES"/>
        </w:rPr>
        <w:t xml:space="preserve"> conformó un equipo técnico de expertos con miembros y no miembros del cuerpo docente de la ESPOL, para la propuesta y dirección de temas de investigación </w:t>
      </w:r>
      <w:r w:rsidRPr="00693A3D">
        <w:rPr>
          <w:sz w:val="20"/>
          <w:szCs w:val="20"/>
          <w:lang w:val="es-ES"/>
        </w:rPr>
        <w:t>con</w:t>
      </w:r>
      <w:r w:rsidR="41D5C35B" w:rsidRPr="00693A3D">
        <w:rPr>
          <w:sz w:val="20"/>
          <w:szCs w:val="20"/>
          <w:lang w:val="es-ES"/>
        </w:rPr>
        <w:t xml:space="preserve"> estudiantes de programas de maestría afines que opten por la modalidad de tesis para su graduación. Los temas actualmente disponibles se exponen a continuación.</w:t>
      </w:r>
    </w:p>
    <w:p w14:paraId="1AE0A888" w14:textId="77777777" w:rsidR="003A66F0" w:rsidRDefault="003A66F0" w:rsidP="00CF7FD8">
      <w:pPr>
        <w:jc w:val="both"/>
        <w:rPr>
          <w:sz w:val="20"/>
          <w:szCs w:val="20"/>
          <w:lang w:val="es-ES_tradnl"/>
        </w:rPr>
      </w:pPr>
    </w:p>
    <w:p w14:paraId="41A3DFEF" w14:textId="77777777" w:rsidR="0075477C" w:rsidRDefault="0075477C" w:rsidP="00CF7FD8">
      <w:pPr>
        <w:jc w:val="both"/>
        <w:rPr>
          <w:sz w:val="20"/>
          <w:szCs w:val="20"/>
          <w:lang w:val="es-ES_tradnl"/>
        </w:rPr>
      </w:pPr>
    </w:p>
    <w:p w14:paraId="46D29FA7" w14:textId="77777777" w:rsidR="0075477C" w:rsidRDefault="0075477C" w:rsidP="00CF7FD8">
      <w:pPr>
        <w:jc w:val="both"/>
        <w:rPr>
          <w:sz w:val="20"/>
          <w:szCs w:val="20"/>
          <w:lang w:val="es-ES_tradnl"/>
        </w:rPr>
      </w:pPr>
    </w:p>
    <w:p w14:paraId="19439C9E" w14:textId="77777777" w:rsidR="0075477C" w:rsidRDefault="0075477C" w:rsidP="00CF7FD8">
      <w:pPr>
        <w:jc w:val="both"/>
        <w:rPr>
          <w:sz w:val="20"/>
          <w:szCs w:val="20"/>
          <w:lang w:val="es-ES_tradnl"/>
        </w:rPr>
      </w:pPr>
    </w:p>
    <w:tbl>
      <w:tblPr>
        <w:tblStyle w:val="Cuadrculadetablaclara10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6756"/>
        <w:gridCol w:w="1306"/>
        <w:gridCol w:w="1479"/>
      </w:tblGrid>
      <w:tr w:rsidR="002662E2" w:rsidRPr="0075477C" w14:paraId="64B62158" w14:textId="58F099BD" w:rsidTr="005636AB">
        <w:trPr>
          <w:jc w:val="center"/>
        </w:trPr>
        <w:tc>
          <w:tcPr>
            <w:tcW w:w="6756" w:type="dxa"/>
            <w:vAlign w:val="center"/>
          </w:tcPr>
          <w:p w14:paraId="0051EFBA" w14:textId="77777777" w:rsidR="002662E2" w:rsidRPr="0075477C" w:rsidRDefault="002662E2" w:rsidP="005636AB">
            <w:pPr>
              <w:ind w:left="313"/>
              <w:jc w:val="center"/>
              <w:rPr>
                <w:sz w:val="16"/>
                <w:szCs w:val="16"/>
              </w:rPr>
            </w:pPr>
            <w:r w:rsidRPr="0075477C">
              <w:rPr>
                <w:sz w:val="16"/>
                <w:szCs w:val="16"/>
              </w:rPr>
              <w:lastRenderedPageBreak/>
              <w:t>TEMA</w:t>
            </w:r>
          </w:p>
        </w:tc>
        <w:tc>
          <w:tcPr>
            <w:tcW w:w="1306" w:type="dxa"/>
            <w:vAlign w:val="center"/>
          </w:tcPr>
          <w:p w14:paraId="3FA31710" w14:textId="3AFB19E8" w:rsidR="002662E2" w:rsidRPr="0075477C" w:rsidRDefault="002662E2" w:rsidP="005636AB">
            <w:pPr>
              <w:jc w:val="center"/>
              <w:rPr>
                <w:sz w:val="16"/>
                <w:szCs w:val="16"/>
              </w:rPr>
            </w:pPr>
            <w:proofErr w:type="gramStart"/>
            <w:r w:rsidRPr="0075477C">
              <w:rPr>
                <w:sz w:val="16"/>
                <w:szCs w:val="16"/>
              </w:rPr>
              <w:t>ÁREAS  DE</w:t>
            </w:r>
            <w:proofErr w:type="gramEnd"/>
            <w:r w:rsidRPr="0075477C">
              <w:rPr>
                <w:sz w:val="16"/>
                <w:szCs w:val="16"/>
              </w:rPr>
              <w:t xml:space="preserve"> CONOCIMIENTO</w:t>
            </w:r>
          </w:p>
        </w:tc>
        <w:tc>
          <w:tcPr>
            <w:tcW w:w="1479" w:type="dxa"/>
            <w:vAlign w:val="center"/>
          </w:tcPr>
          <w:p w14:paraId="2146CA45" w14:textId="4521C122" w:rsidR="002662E2" w:rsidRPr="0075477C" w:rsidRDefault="005636AB" w:rsidP="0056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TEMÁTICAS</w:t>
            </w:r>
          </w:p>
        </w:tc>
      </w:tr>
      <w:tr w:rsidR="002662E2" w:rsidRPr="00693A3D" w14:paraId="7454B2A2" w14:textId="33CA6E0B" w:rsidTr="005636AB">
        <w:trPr>
          <w:trHeight w:val="876"/>
          <w:jc w:val="center"/>
        </w:trPr>
        <w:tc>
          <w:tcPr>
            <w:tcW w:w="6756" w:type="dxa"/>
            <w:vAlign w:val="center"/>
          </w:tcPr>
          <w:p w14:paraId="4EEE274D" w14:textId="77777777" w:rsidR="002662E2" w:rsidRPr="00693A3D" w:rsidRDefault="002662E2" w:rsidP="004E2A61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Evaluación de los precios referenciales de productos ecuatorianos de exportación: ¿Reflejan o no la realidad del mercado internacional? Evidencia del sector camaronero.</w:t>
            </w:r>
          </w:p>
        </w:tc>
        <w:tc>
          <w:tcPr>
            <w:tcW w:w="1306" w:type="dxa"/>
            <w:vAlign w:val="center"/>
          </w:tcPr>
          <w:p w14:paraId="1158A0CF" w14:textId="77777777" w:rsidR="002662E2" w:rsidRPr="00693A3D" w:rsidRDefault="002662E2" w:rsidP="004E2A61">
            <w:pPr>
              <w:spacing w:before="120"/>
              <w:jc w:val="center"/>
              <w:rPr>
                <w:bCs/>
                <w:sz w:val="20"/>
                <w:szCs w:val="20"/>
                <w:lang w:val="es-ES_tradnl"/>
              </w:rPr>
            </w:pPr>
            <w:r w:rsidRPr="00693A3D">
              <w:rPr>
                <w:sz w:val="20"/>
                <w:szCs w:val="20"/>
                <w:lang w:val="es-ES"/>
              </w:rPr>
              <w:t>1, 11</w:t>
            </w:r>
          </w:p>
        </w:tc>
        <w:tc>
          <w:tcPr>
            <w:tcW w:w="1479" w:type="dxa"/>
            <w:vAlign w:val="center"/>
          </w:tcPr>
          <w:p w14:paraId="5916E10D" w14:textId="4A2AA161" w:rsidR="002662E2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Tributación,</w:t>
            </w:r>
          </w:p>
          <w:p w14:paraId="77EC5F94" w14:textId="5DC49DF1" w:rsidR="005636AB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Precios de Transferencia</w:t>
            </w:r>
          </w:p>
        </w:tc>
      </w:tr>
      <w:tr w:rsidR="002662E2" w:rsidRPr="00693A3D" w14:paraId="263D045C" w14:textId="421BAAD3" w:rsidTr="005636AB">
        <w:trPr>
          <w:jc w:val="center"/>
        </w:trPr>
        <w:tc>
          <w:tcPr>
            <w:tcW w:w="6756" w:type="dxa"/>
            <w:vAlign w:val="center"/>
          </w:tcPr>
          <w:p w14:paraId="004CB762" w14:textId="77777777" w:rsidR="002662E2" w:rsidRPr="00693A3D" w:rsidRDefault="002662E2" w:rsidP="004E2A61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El impacto del régimen de precios de transferencia en la recaudación del Impuesto a la Renta de las sociedades en el Ecuador, periodo 2014: Evidencia con métodos semi-paramétricos de evaluación de impacto.</w:t>
            </w:r>
          </w:p>
        </w:tc>
        <w:tc>
          <w:tcPr>
            <w:tcW w:w="1306" w:type="dxa"/>
            <w:vAlign w:val="center"/>
          </w:tcPr>
          <w:p w14:paraId="1882660E" w14:textId="77777777" w:rsidR="002662E2" w:rsidRPr="00693A3D" w:rsidRDefault="002662E2" w:rsidP="004E2A61">
            <w:pPr>
              <w:spacing w:before="120"/>
              <w:jc w:val="center"/>
              <w:rPr>
                <w:iCs/>
                <w:sz w:val="20"/>
                <w:szCs w:val="20"/>
                <w:lang w:val="es-ES_tradnl"/>
              </w:rPr>
            </w:pPr>
            <w:r w:rsidRPr="00693A3D">
              <w:rPr>
                <w:sz w:val="20"/>
                <w:szCs w:val="20"/>
                <w:lang w:val="es-ES"/>
              </w:rPr>
              <w:t>1, 11</w:t>
            </w:r>
          </w:p>
        </w:tc>
        <w:tc>
          <w:tcPr>
            <w:tcW w:w="1479" w:type="dxa"/>
            <w:vAlign w:val="center"/>
          </w:tcPr>
          <w:p w14:paraId="29E614FD" w14:textId="77777777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Tributación,</w:t>
            </w:r>
          </w:p>
          <w:p w14:paraId="3A753672" w14:textId="283475BE" w:rsidR="002662E2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Finanzas</w:t>
            </w:r>
          </w:p>
        </w:tc>
      </w:tr>
      <w:tr w:rsidR="005636AB" w:rsidRPr="00693A3D" w14:paraId="3F8487AE" w14:textId="3DB68C6E" w:rsidTr="005636AB">
        <w:trPr>
          <w:jc w:val="center"/>
        </w:trPr>
        <w:tc>
          <w:tcPr>
            <w:tcW w:w="6756" w:type="dxa"/>
            <w:vAlign w:val="center"/>
          </w:tcPr>
          <w:p w14:paraId="29660AAF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El uso del clúster para la determinación de Acuerdos de Precios Anticipados (APA’s): Aplicación práctica en el sector aeronáutico.</w:t>
            </w:r>
          </w:p>
        </w:tc>
        <w:tc>
          <w:tcPr>
            <w:tcW w:w="1306" w:type="dxa"/>
            <w:vAlign w:val="center"/>
          </w:tcPr>
          <w:p w14:paraId="79B21D91" w14:textId="77777777" w:rsidR="005636AB" w:rsidRPr="00693A3D" w:rsidRDefault="005636AB" w:rsidP="005636AB">
            <w:pPr>
              <w:pStyle w:val="Prrafodelista"/>
              <w:ind w:left="34"/>
              <w:jc w:val="center"/>
              <w:rPr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1, 11.</w:t>
            </w:r>
          </w:p>
        </w:tc>
        <w:tc>
          <w:tcPr>
            <w:tcW w:w="1479" w:type="dxa"/>
            <w:vAlign w:val="center"/>
          </w:tcPr>
          <w:p w14:paraId="1B5F0B68" w14:textId="77777777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Finanzas,</w:t>
            </w:r>
          </w:p>
          <w:p w14:paraId="1F3629B6" w14:textId="2845427D" w:rsidR="005636AB" w:rsidRPr="00693A3D" w:rsidRDefault="005636AB" w:rsidP="005636AB">
            <w:pPr>
              <w:pStyle w:val="Prrafodelista"/>
              <w:ind w:left="34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</w:t>
            </w:r>
          </w:p>
        </w:tc>
      </w:tr>
      <w:tr w:rsidR="005636AB" w:rsidRPr="00693A3D" w14:paraId="3F48D54D" w14:textId="7BEAE51C" w:rsidTr="005636AB">
        <w:trPr>
          <w:jc w:val="center"/>
        </w:trPr>
        <w:tc>
          <w:tcPr>
            <w:tcW w:w="6756" w:type="dxa"/>
            <w:vAlign w:val="center"/>
          </w:tcPr>
          <w:p w14:paraId="0502C112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Evaluación de las fórmulas de ajuste de capital dentro del Análisis de Comparabilidad. Enfoque a través de la utilización de EEFF con NIIF.</w:t>
            </w:r>
          </w:p>
        </w:tc>
        <w:tc>
          <w:tcPr>
            <w:tcW w:w="1306" w:type="dxa"/>
            <w:vAlign w:val="center"/>
          </w:tcPr>
          <w:p w14:paraId="518681D6" w14:textId="77777777" w:rsidR="005636AB" w:rsidRPr="00693A3D" w:rsidRDefault="005636AB" w:rsidP="005636AB">
            <w:pPr>
              <w:spacing w:before="120"/>
              <w:jc w:val="center"/>
              <w:rPr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11</w:t>
            </w:r>
          </w:p>
        </w:tc>
        <w:tc>
          <w:tcPr>
            <w:tcW w:w="1479" w:type="dxa"/>
            <w:vAlign w:val="center"/>
          </w:tcPr>
          <w:p w14:paraId="0FD6A3E3" w14:textId="49F8F091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Finanzas,</w:t>
            </w:r>
          </w:p>
          <w:p w14:paraId="7D6453A3" w14:textId="5E7F053D" w:rsidR="005636AB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</w:t>
            </w:r>
          </w:p>
        </w:tc>
      </w:tr>
      <w:tr w:rsidR="005636AB" w:rsidRPr="00693A3D" w14:paraId="44946B6F" w14:textId="0CE986C9" w:rsidTr="005636AB">
        <w:trPr>
          <w:jc w:val="center"/>
        </w:trPr>
        <w:tc>
          <w:tcPr>
            <w:tcW w:w="6756" w:type="dxa"/>
            <w:vAlign w:val="center"/>
          </w:tcPr>
          <w:p w14:paraId="77AF112A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Big Data y selección de riesgos tributarios en procesos de auditorías.</w:t>
            </w:r>
          </w:p>
        </w:tc>
        <w:tc>
          <w:tcPr>
            <w:tcW w:w="1306" w:type="dxa"/>
            <w:vAlign w:val="center"/>
          </w:tcPr>
          <w:p w14:paraId="67B783C3" w14:textId="77777777" w:rsidR="005636AB" w:rsidRPr="00693A3D" w:rsidRDefault="005636AB" w:rsidP="005636AB">
            <w:pPr>
              <w:spacing w:before="120"/>
              <w:jc w:val="center"/>
              <w:rPr>
                <w:sz w:val="20"/>
                <w:szCs w:val="20"/>
              </w:rPr>
            </w:pPr>
            <w:r w:rsidRPr="00693A3D">
              <w:rPr>
                <w:sz w:val="20"/>
                <w:szCs w:val="20"/>
              </w:rPr>
              <w:t>11</w:t>
            </w:r>
          </w:p>
        </w:tc>
        <w:tc>
          <w:tcPr>
            <w:tcW w:w="1479" w:type="dxa"/>
            <w:vAlign w:val="center"/>
          </w:tcPr>
          <w:p w14:paraId="03A9304B" w14:textId="77777777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Tributación,</w:t>
            </w:r>
          </w:p>
          <w:p w14:paraId="75E47627" w14:textId="18B30B87" w:rsidR="005636AB" w:rsidRPr="00693A3D" w:rsidRDefault="005636AB" w:rsidP="0056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Auditoría</w:t>
            </w:r>
          </w:p>
        </w:tc>
      </w:tr>
      <w:tr w:rsidR="005636AB" w:rsidRPr="00693A3D" w14:paraId="6D34F14C" w14:textId="5895ABA8" w:rsidTr="005636AB">
        <w:trPr>
          <w:jc w:val="center"/>
        </w:trPr>
        <w:tc>
          <w:tcPr>
            <w:tcW w:w="6756" w:type="dxa"/>
            <w:vAlign w:val="center"/>
          </w:tcPr>
          <w:p w14:paraId="34D5C718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 xml:space="preserve">Inversión extranjera Directa, Impuestos y Desarrollo. Evidencia para el caso </w:t>
            </w:r>
            <w:proofErr w:type="gramStart"/>
            <w:r w:rsidRPr="00693A3D">
              <w:rPr>
                <w:sz w:val="20"/>
                <w:szCs w:val="20"/>
                <w:lang w:val="es-ES"/>
              </w:rPr>
              <w:t>Ecuatoriano</w:t>
            </w:r>
            <w:proofErr w:type="gramEnd"/>
            <w:r w:rsidRPr="00693A3D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306" w:type="dxa"/>
            <w:vAlign w:val="center"/>
          </w:tcPr>
          <w:p w14:paraId="6147DE39" w14:textId="77777777" w:rsidR="005636AB" w:rsidRPr="00693A3D" w:rsidRDefault="005636AB" w:rsidP="005636AB">
            <w:pPr>
              <w:spacing w:before="120"/>
              <w:jc w:val="center"/>
              <w:rPr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1, 11</w:t>
            </w:r>
          </w:p>
        </w:tc>
        <w:tc>
          <w:tcPr>
            <w:tcW w:w="1479" w:type="dxa"/>
            <w:vAlign w:val="center"/>
          </w:tcPr>
          <w:p w14:paraId="00E71EAE" w14:textId="6EC4FAE7" w:rsidR="005636AB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Administración pública, Tributación.</w:t>
            </w:r>
          </w:p>
        </w:tc>
      </w:tr>
      <w:tr w:rsidR="005636AB" w:rsidRPr="00693A3D" w14:paraId="36ED6178" w14:textId="3D90BA19" w:rsidTr="005636AB">
        <w:trPr>
          <w:jc w:val="center"/>
        </w:trPr>
        <w:tc>
          <w:tcPr>
            <w:tcW w:w="6756" w:type="dxa"/>
            <w:vAlign w:val="center"/>
          </w:tcPr>
          <w:p w14:paraId="7EB6D6DD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Evaluación de Impacto de los Ajustes de Precios de Transferencia y Gastos no Deducibles. Evidencia para el caso ecuatoriano.</w:t>
            </w:r>
          </w:p>
        </w:tc>
        <w:tc>
          <w:tcPr>
            <w:tcW w:w="1306" w:type="dxa"/>
            <w:vAlign w:val="center"/>
          </w:tcPr>
          <w:p w14:paraId="230D3D43" w14:textId="77777777" w:rsidR="005636AB" w:rsidRPr="00693A3D" w:rsidRDefault="005636AB" w:rsidP="005636AB">
            <w:pPr>
              <w:jc w:val="center"/>
              <w:rPr>
                <w:sz w:val="20"/>
                <w:szCs w:val="20"/>
              </w:rPr>
            </w:pPr>
            <w:r w:rsidRPr="00693A3D">
              <w:rPr>
                <w:sz w:val="20"/>
                <w:szCs w:val="20"/>
              </w:rPr>
              <w:t>1, 11</w:t>
            </w:r>
          </w:p>
        </w:tc>
        <w:tc>
          <w:tcPr>
            <w:tcW w:w="1479" w:type="dxa"/>
            <w:vAlign w:val="center"/>
          </w:tcPr>
          <w:p w14:paraId="28381DB6" w14:textId="77777777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Tributación,</w:t>
            </w:r>
          </w:p>
          <w:p w14:paraId="74403675" w14:textId="0BD89D32" w:rsidR="005636AB" w:rsidRPr="00693A3D" w:rsidRDefault="005636AB" w:rsidP="0056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Precios de Transferencia</w:t>
            </w:r>
          </w:p>
        </w:tc>
      </w:tr>
      <w:tr w:rsidR="005636AB" w:rsidRPr="00693A3D" w14:paraId="706BF496" w14:textId="5E7628F4" w:rsidTr="005636AB">
        <w:trPr>
          <w:jc w:val="center"/>
        </w:trPr>
        <w:tc>
          <w:tcPr>
            <w:tcW w:w="6756" w:type="dxa"/>
            <w:vAlign w:val="center"/>
          </w:tcPr>
          <w:p w14:paraId="087F97BD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693A3D">
              <w:rPr>
                <w:sz w:val="20"/>
                <w:szCs w:val="20"/>
                <w:lang w:val="es-ES"/>
              </w:rPr>
              <w:t>Diferencia en la imposición indirecta a hombres y mujeres cabezas de hogar. Evidencia para el Ecuador través de la encuesta ENIGHUR 2011-201</w:t>
            </w:r>
          </w:p>
        </w:tc>
        <w:tc>
          <w:tcPr>
            <w:tcW w:w="1306" w:type="dxa"/>
            <w:vAlign w:val="center"/>
          </w:tcPr>
          <w:p w14:paraId="2105A6ED" w14:textId="77777777" w:rsidR="005636AB" w:rsidRPr="00693A3D" w:rsidRDefault="005636AB" w:rsidP="005636AB">
            <w:pPr>
              <w:spacing w:before="120"/>
              <w:jc w:val="center"/>
              <w:rPr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7, 11</w:t>
            </w:r>
          </w:p>
        </w:tc>
        <w:tc>
          <w:tcPr>
            <w:tcW w:w="1479" w:type="dxa"/>
            <w:vAlign w:val="center"/>
          </w:tcPr>
          <w:p w14:paraId="2CA441DC" w14:textId="77777777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Tributación,</w:t>
            </w:r>
          </w:p>
          <w:p w14:paraId="760DFB9E" w14:textId="6386E76F" w:rsidR="005636AB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Equidad de género</w:t>
            </w:r>
          </w:p>
        </w:tc>
      </w:tr>
      <w:tr w:rsidR="005636AB" w:rsidRPr="00693A3D" w14:paraId="2EFB5CE3" w14:textId="117ADA95" w:rsidTr="005636AB">
        <w:trPr>
          <w:jc w:val="center"/>
        </w:trPr>
        <w:tc>
          <w:tcPr>
            <w:tcW w:w="6756" w:type="dxa"/>
            <w:vAlign w:val="center"/>
          </w:tcPr>
          <w:p w14:paraId="54EBCAAC" w14:textId="77777777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93A3D">
              <w:rPr>
                <w:sz w:val="20"/>
                <w:szCs w:val="20"/>
                <w:lang w:val="es-ES"/>
              </w:rPr>
              <w:t>Ingresos de la renta de la propiedad y capital en el Ecuador. Caracterización a través de la encuesta ENIGHUR 2011-2012.</w:t>
            </w:r>
          </w:p>
        </w:tc>
        <w:tc>
          <w:tcPr>
            <w:tcW w:w="1306" w:type="dxa"/>
            <w:vAlign w:val="center"/>
          </w:tcPr>
          <w:p w14:paraId="77ABE27B" w14:textId="77777777" w:rsidR="005636AB" w:rsidRPr="00693A3D" w:rsidRDefault="005636AB" w:rsidP="005636AB">
            <w:pPr>
              <w:spacing w:before="120"/>
              <w:jc w:val="center"/>
              <w:rPr>
                <w:sz w:val="20"/>
                <w:szCs w:val="20"/>
                <w:lang w:val="es-ES_tradnl"/>
              </w:rPr>
            </w:pPr>
            <w:r w:rsidRPr="00693A3D">
              <w:rPr>
                <w:sz w:val="20"/>
                <w:szCs w:val="20"/>
                <w:lang w:val="es-ES"/>
              </w:rPr>
              <w:t>11</w:t>
            </w:r>
          </w:p>
        </w:tc>
        <w:tc>
          <w:tcPr>
            <w:tcW w:w="1479" w:type="dxa"/>
            <w:vAlign w:val="center"/>
          </w:tcPr>
          <w:p w14:paraId="3120351C" w14:textId="1DDE9D42" w:rsidR="005636AB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 w:rsidRPr="005636AB">
              <w:rPr>
                <w:sz w:val="20"/>
                <w:szCs w:val="20"/>
                <w:lang w:val="es-ES"/>
              </w:rPr>
              <w:t>Administración pública, Tributación.</w:t>
            </w:r>
          </w:p>
        </w:tc>
      </w:tr>
      <w:tr w:rsidR="005636AB" w:rsidRPr="00693A3D" w14:paraId="150E612E" w14:textId="3BA248BE" w:rsidTr="005636AB">
        <w:trPr>
          <w:jc w:val="center"/>
        </w:trPr>
        <w:tc>
          <w:tcPr>
            <w:tcW w:w="6756" w:type="dxa"/>
            <w:vAlign w:val="center"/>
          </w:tcPr>
          <w:p w14:paraId="3DCB3C2F" w14:textId="6E421511" w:rsidR="005636AB" w:rsidRPr="00693A3D" w:rsidRDefault="005636AB" w:rsidP="005636AB">
            <w:pPr>
              <w:pStyle w:val="Prrafodelista"/>
              <w:numPr>
                <w:ilvl w:val="0"/>
                <w:numId w:val="7"/>
              </w:numPr>
              <w:spacing w:before="120"/>
              <w:ind w:left="454"/>
              <w:contextualSpacing w:val="0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693A3D">
              <w:rPr>
                <w:sz w:val="20"/>
                <w:szCs w:val="20"/>
                <w:lang w:val="es-ES"/>
              </w:rPr>
              <w:t xml:space="preserve">Efectos de medidas tributarias y no tributarias sobre la contaminación vehicular: Tamaño y composición del parque automotor </w:t>
            </w:r>
          </w:p>
        </w:tc>
        <w:tc>
          <w:tcPr>
            <w:tcW w:w="1306" w:type="dxa"/>
            <w:vAlign w:val="center"/>
          </w:tcPr>
          <w:p w14:paraId="5C41D4B1" w14:textId="77777777" w:rsidR="005636AB" w:rsidRPr="00693A3D" w:rsidRDefault="005636AB" w:rsidP="005636AB">
            <w:pPr>
              <w:spacing w:before="120"/>
              <w:jc w:val="center"/>
              <w:rPr>
                <w:sz w:val="20"/>
                <w:szCs w:val="20"/>
                <w:lang w:val="es-ES_tradnl"/>
              </w:rPr>
            </w:pPr>
            <w:r w:rsidRPr="00693A3D">
              <w:rPr>
                <w:sz w:val="20"/>
                <w:szCs w:val="20"/>
                <w:lang w:val="es-ES"/>
              </w:rPr>
              <w:t>3, 11</w:t>
            </w:r>
          </w:p>
        </w:tc>
        <w:tc>
          <w:tcPr>
            <w:tcW w:w="1479" w:type="dxa"/>
            <w:vAlign w:val="center"/>
          </w:tcPr>
          <w:p w14:paraId="202726A0" w14:textId="77777777" w:rsidR="005636AB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Tributación,</w:t>
            </w:r>
          </w:p>
          <w:p w14:paraId="5BCD6522" w14:textId="03AA63EB" w:rsidR="005636AB" w:rsidRPr="00693A3D" w:rsidRDefault="005636AB" w:rsidP="005636AB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Economía ambiental</w:t>
            </w:r>
          </w:p>
        </w:tc>
      </w:tr>
    </w:tbl>
    <w:p w14:paraId="72C013BE" w14:textId="3F736EFC" w:rsidR="003A66F0" w:rsidRPr="00693A3D" w:rsidRDefault="00767A70" w:rsidP="002662E2">
      <w:pPr>
        <w:jc w:val="center"/>
        <w:rPr>
          <w:sz w:val="20"/>
          <w:szCs w:val="20"/>
        </w:rPr>
      </w:pPr>
      <w:r w:rsidRPr="00693A3D">
        <w:rPr>
          <w:b/>
          <w:sz w:val="20"/>
          <w:szCs w:val="20"/>
        </w:rPr>
        <w:t xml:space="preserve">Tabla </w:t>
      </w:r>
      <w:r w:rsidR="00D47A05" w:rsidRPr="00693A3D">
        <w:rPr>
          <w:b/>
          <w:sz w:val="20"/>
          <w:szCs w:val="20"/>
        </w:rPr>
        <w:t>2</w:t>
      </w:r>
      <w:r w:rsidRPr="00693A3D">
        <w:rPr>
          <w:b/>
          <w:sz w:val="20"/>
          <w:szCs w:val="20"/>
        </w:rPr>
        <w:t>.</w:t>
      </w:r>
      <w:r w:rsidRPr="00693A3D">
        <w:rPr>
          <w:sz w:val="20"/>
          <w:szCs w:val="20"/>
        </w:rPr>
        <w:t xml:space="preserve"> Temas y </w:t>
      </w:r>
      <w:r w:rsidR="00D47A05" w:rsidRPr="00693A3D">
        <w:rPr>
          <w:sz w:val="20"/>
          <w:szCs w:val="20"/>
        </w:rPr>
        <w:t>sub-área de conocimiento</w:t>
      </w:r>
    </w:p>
    <w:p w14:paraId="3B52FCF7" w14:textId="1D146835" w:rsidR="00767A70" w:rsidRPr="00693A3D" w:rsidRDefault="00767A70" w:rsidP="00CF7FD8">
      <w:pPr>
        <w:jc w:val="both"/>
        <w:rPr>
          <w:color w:val="2E74B5" w:themeColor="accent1" w:themeShade="BF"/>
          <w:sz w:val="20"/>
          <w:szCs w:val="20"/>
        </w:rPr>
      </w:pPr>
      <w:r w:rsidRPr="00693A3D">
        <w:rPr>
          <w:color w:val="2E74B5" w:themeColor="accent1" w:themeShade="BF"/>
          <w:sz w:val="20"/>
          <w:szCs w:val="20"/>
        </w:rPr>
        <w:t>Beneficios</w:t>
      </w:r>
      <w:r w:rsidR="002662E2" w:rsidRPr="00693A3D">
        <w:rPr>
          <w:color w:val="2E74B5" w:themeColor="accent1" w:themeShade="BF"/>
          <w:sz w:val="20"/>
          <w:szCs w:val="20"/>
        </w:rPr>
        <w:t xml:space="preserve"> del desarrollo de investigación en este marco.</w:t>
      </w:r>
    </w:p>
    <w:p w14:paraId="4EAC4812" w14:textId="70B10114" w:rsidR="000F4BCC" w:rsidRPr="00693A3D" w:rsidRDefault="41D5C35B" w:rsidP="008C3120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>Potencial conexión para consulta a expertos en otras áreas del conocimiento, dentro de ESPOL o fuera de ella, si la aplicación lo amerita.</w:t>
      </w:r>
    </w:p>
    <w:p w14:paraId="52079FF8" w14:textId="4F696F53" w:rsidR="000F4BCC" w:rsidRPr="00693A3D" w:rsidRDefault="41D5C35B" w:rsidP="008C3120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 xml:space="preserve">Contacto con redes de estudio locales e internacionales que incluyen, </w:t>
      </w:r>
      <w:r w:rsidRPr="00693A3D">
        <w:rPr>
          <w:rFonts w:ascii="Calibri" w:eastAsia="Calibri" w:hAnsi="Calibri" w:cs="Calibri"/>
          <w:sz w:val="20"/>
          <w:szCs w:val="20"/>
        </w:rPr>
        <w:t>entre otros,</w:t>
      </w:r>
      <w:r w:rsidRPr="00693A3D">
        <w:rPr>
          <w:sz w:val="20"/>
          <w:szCs w:val="20"/>
        </w:rPr>
        <w:t xml:space="preserve"> centros de educación superior y centros de investigación tanto púb</w:t>
      </w:r>
      <w:r w:rsidR="003A66F0" w:rsidRPr="00693A3D">
        <w:rPr>
          <w:sz w:val="20"/>
          <w:szCs w:val="20"/>
        </w:rPr>
        <w:t>l</w:t>
      </w:r>
      <w:r w:rsidRPr="00693A3D">
        <w:rPr>
          <w:sz w:val="20"/>
          <w:szCs w:val="20"/>
        </w:rPr>
        <w:t>icos como privados.</w:t>
      </w:r>
    </w:p>
    <w:p w14:paraId="5AE0F31E" w14:textId="00BCA8E0" w:rsidR="000F4BCC" w:rsidRPr="00693A3D" w:rsidRDefault="41D5C35B" w:rsidP="008C3120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 xml:space="preserve">Acceso a asesoría de autores de estudios previos que pertenezcan a la red </w:t>
      </w:r>
      <w:r w:rsidR="002662E2" w:rsidRPr="00693A3D">
        <w:rPr>
          <w:sz w:val="20"/>
          <w:szCs w:val="20"/>
        </w:rPr>
        <w:t>de Justicia Fiscal Latinoamericana y aliados.</w:t>
      </w:r>
    </w:p>
    <w:p w14:paraId="0B3B71BD" w14:textId="40CBB6C4" w:rsidR="41D5C35B" w:rsidRPr="00693A3D" w:rsidRDefault="41D5C35B" w:rsidP="41D5C35B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>Generación de trabajos con mayor incidencia y pertinencia</w:t>
      </w:r>
      <w:r w:rsidRPr="00693A3D">
        <w:rPr>
          <w:sz w:val="20"/>
          <w:szCs w:val="20"/>
          <w:lang w:val="es-ES"/>
        </w:rPr>
        <w:t xml:space="preserve"> académica, científica, cultural, etc.</w:t>
      </w:r>
    </w:p>
    <w:p w14:paraId="6FE3A2DF" w14:textId="3A950B91" w:rsidR="000F4BCC" w:rsidRPr="00693A3D" w:rsidRDefault="41D5C35B" w:rsidP="008C3120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693A3D">
        <w:rPr>
          <w:sz w:val="20"/>
          <w:szCs w:val="20"/>
          <w:lang w:val="es-ES"/>
        </w:rPr>
        <w:t>Potencial de producción de publicaciones conjuntas.</w:t>
      </w:r>
    </w:p>
    <w:p w14:paraId="1F390195" w14:textId="77777777" w:rsidR="0052538F" w:rsidRPr="00693A3D" w:rsidRDefault="00203999" w:rsidP="00CF7FD8">
      <w:pPr>
        <w:jc w:val="both"/>
        <w:rPr>
          <w:color w:val="2E74B5" w:themeColor="accent1" w:themeShade="BF"/>
          <w:sz w:val="20"/>
          <w:szCs w:val="20"/>
        </w:rPr>
      </w:pPr>
      <w:r w:rsidRPr="00693A3D">
        <w:rPr>
          <w:color w:val="2E74B5" w:themeColor="accent1" w:themeShade="BF"/>
          <w:sz w:val="20"/>
          <w:szCs w:val="20"/>
        </w:rPr>
        <w:t xml:space="preserve">Proceso de </w:t>
      </w:r>
      <w:r w:rsidR="0052538F" w:rsidRPr="00693A3D">
        <w:rPr>
          <w:color w:val="2E74B5" w:themeColor="accent1" w:themeShade="BF"/>
          <w:sz w:val="20"/>
          <w:szCs w:val="20"/>
        </w:rPr>
        <w:t>Aplicación</w:t>
      </w:r>
    </w:p>
    <w:p w14:paraId="4851CDCD" w14:textId="77777777" w:rsidR="000F4BCC" w:rsidRPr="00693A3D" w:rsidRDefault="00EA2396" w:rsidP="007E5E0D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>Llenar el formulario de inscripción adjunto al correo</w:t>
      </w:r>
      <w:r w:rsidR="00347DDE" w:rsidRPr="00693A3D">
        <w:rPr>
          <w:sz w:val="20"/>
          <w:szCs w:val="20"/>
        </w:rPr>
        <w:t xml:space="preserve"> electrónico</w:t>
      </w:r>
      <w:r w:rsidRPr="00693A3D">
        <w:rPr>
          <w:sz w:val="20"/>
          <w:szCs w:val="20"/>
        </w:rPr>
        <w:t>.</w:t>
      </w:r>
    </w:p>
    <w:p w14:paraId="4EF69EE5" w14:textId="640F9A10" w:rsidR="000F4BCC" w:rsidRPr="00693A3D" w:rsidRDefault="00EA2396" w:rsidP="007E5E0D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 xml:space="preserve">Enviar el formulario a </w:t>
      </w:r>
      <w:r w:rsidRPr="00693A3D">
        <w:rPr>
          <w:color w:val="0070C0"/>
          <w:sz w:val="20"/>
          <w:szCs w:val="20"/>
          <w:u w:val="single"/>
        </w:rPr>
        <w:t>gifid@espol.edu.ec</w:t>
      </w:r>
      <w:r w:rsidRPr="00693A3D">
        <w:rPr>
          <w:color w:val="0070C0"/>
          <w:sz w:val="20"/>
          <w:szCs w:val="20"/>
        </w:rPr>
        <w:t xml:space="preserve"> </w:t>
      </w:r>
      <w:r w:rsidRPr="00693A3D">
        <w:rPr>
          <w:sz w:val="20"/>
          <w:szCs w:val="20"/>
        </w:rPr>
        <w:t xml:space="preserve">hasta el día </w:t>
      </w:r>
      <w:r w:rsidR="00DC322A">
        <w:rPr>
          <w:b/>
          <w:i/>
          <w:iCs/>
          <w:sz w:val="20"/>
          <w:szCs w:val="20"/>
        </w:rPr>
        <w:t xml:space="preserve">jueves </w:t>
      </w:r>
      <w:r w:rsidR="004A76C6">
        <w:rPr>
          <w:b/>
          <w:i/>
          <w:iCs/>
          <w:sz w:val="20"/>
          <w:szCs w:val="20"/>
        </w:rPr>
        <w:t>4</w:t>
      </w:r>
      <w:r w:rsidR="00DC322A">
        <w:rPr>
          <w:b/>
          <w:i/>
          <w:iCs/>
          <w:sz w:val="20"/>
          <w:szCs w:val="20"/>
        </w:rPr>
        <w:t xml:space="preserve"> de agosto</w:t>
      </w:r>
      <w:r w:rsidR="004367F3" w:rsidRPr="00693A3D">
        <w:rPr>
          <w:b/>
          <w:bCs/>
          <w:i/>
          <w:iCs/>
          <w:sz w:val="20"/>
          <w:szCs w:val="20"/>
        </w:rPr>
        <w:t xml:space="preserve"> de 2016</w:t>
      </w:r>
      <w:r w:rsidRPr="00693A3D">
        <w:rPr>
          <w:sz w:val="20"/>
          <w:szCs w:val="20"/>
        </w:rPr>
        <w:t xml:space="preserve"> (</w:t>
      </w:r>
      <w:r w:rsidR="00C236BB" w:rsidRPr="00693A3D">
        <w:rPr>
          <w:sz w:val="20"/>
          <w:szCs w:val="20"/>
        </w:rPr>
        <w:t>colocar</w:t>
      </w:r>
      <w:r w:rsidRPr="00693A3D">
        <w:rPr>
          <w:sz w:val="20"/>
          <w:szCs w:val="20"/>
        </w:rPr>
        <w:t xml:space="preserve"> como asunto </w:t>
      </w:r>
      <w:r w:rsidR="00DC322A">
        <w:rPr>
          <w:b/>
          <w:bCs/>
          <w:i/>
          <w:iCs/>
          <w:sz w:val="20"/>
          <w:szCs w:val="20"/>
        </w:rPr>
        <w:t>Tesis de Maestría</w:t>
      </w:r>
      <w:r w:rsidRPr="00693A3D">
        <w:rPr>
          <w:sz w:val="20"/>
          <w:szCs w:val="20"/>
        </w:rPr>
        <w:t>).</w:t>
      </w:r>
    </w:p>
    <w:p w14:paraId="0965F250" w14:textId="77777777" w:rsidR="000F4BCC" w:rsidRPr="00693A3D" w:rsidRDefault="00EA2396" w:rsidP="007E5E0D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693A3D">
        <w:rPr>
          <w:sz w:val="20"/>
          <w:szCs w:val="20"/>
        </w:rPr>
        <w:t>En caso de estar interesado en otros temas relacionados a las áreas de conocimiento expu</w:t>
      </w:r>
      <w:r w:rsidR="00C13CF8" w:rsidRPr="00693A3D">
        <w:rPr>
          <w:sz w:val="20"/>
          <w:szCs w:val="20"/>
        </w:rPr>
        <w:t>estas,</w:t>
      </w:r>
      <w:r w:rsidR="00347DDE" w:rsidRPr="00693A3D">
        <w:rPr>
          <w:sz w:val="20"/>
          <w:szCs w:val="20"/>
        </w:rPr>
        <w:t xml:space="preserve"> contáctenos mediante esta vía para la </w:t>
      </w:r>
      <w:r w:rsidR="00C236BB" w:rsidRPr="00693A3D">
        <w:rPr>
          <w:sz w:val="20"/>
          <w:szCs w:val="20"/>
        </w:rPr>
        <w:t>pertinente</w:t>
      </w:r>
      <w:r w:rsidR="00C13CF8" w:rsidRPr="00693A3D">
        <w:rPr>
          <w:sz w:val="20"/>
          <w:szCs w:val="20"/>
        </w:rPr>
        <w:t xml:space="preserve"> asignación de tutor. </w:t>
      </w:r>
    </w:p>
    <w:p w14:paraId="1916E30F" w14:textId="5440C3D2" w:rsidR="0052538F" w:rsidRPr="0006654C" w:rsidRDefault="00203999" w:rsidP="005B4321">
      <w:pPr>
        <w:jc w:val="both"/>
      </w:pPr>
      <w:r w:rsidRPr="00693A3D">
        <w:rPr>
          <w:i/>
          <w:iCs/>
          <w:sz w:val="20"/>
          <w:szCs w:val="20"/>
        </w:rPr>
        <w:t xml:space="preserve">Nota: Se notificará vía </w:t>
      </w:r>
      <w:r w:rsidR="00520A06" w:rsidRPr="00693A3D">
        <w:rPr>
          <w:i/>
          <w:iCs/>
          <w:sz w:val="20"/>
          <w:szCs w:val="20"/>
        </w:rPr>
        <w:t>correo electrónico</w:t>
      </w:r>
      <w:r w:rsidR="00C236BB" w:rsidRPr="00693A3D">
        <w:rPr>
          <w:i/>
          <w:iCs/>
          <w:sz w:val="20"/>
          <w:szCs w:val="20"/>
        </w:rPr>
        <w:t xml:space="preserve"> a</w:t>
      </w:r>
      <w:r w:rsidRPr="00693A3D">
        <w:rPr>
          <w:i/>
          <w:iCs/>
          <w:sz w:val="20"/>
          <w:szCs w:val="20"/>
        </w:rPr>
        <w:t xml:space="preserve"> los estudiantes seleccionados con sus respectivos temas el día </w:t>
      </w:r>
      <w:r w:rsidR="00DC322A">
        <w:rPr>
          <w:b/>
          <w:i/>
          <w:iCs/>
          <w:sz w:val="20"/>
          <w:szCs w:val="20"/>
        </w:rPr>
        <w:t>lunes</w:t>
      </w:r>
      <w:r w:rsidR="00640297" w:rsidRPr="00693A3D">
        <w:rPr>
          <w:b/>
          <w:bCs/>
          <w:i/>
          <w:iCs/>
          <w:sz w:val="20"/>
          <w:szCs w:val="20"/>
        </w:rPr>
        <w:t xml:space="preserve"> </w:t>
      </w:r>
      <w:r w:rsidR="00DC322A">
        <w:rPr>
          <w:b/>
          <w:bCs/>
          <w:i/>
          <w:iCs/>
          <w:sz w:val="20"/>
          <w:szCs w:val="20"/>
        </w:rPr>
        <w:t>8</w:t>
      </w:r>
      <w:r w:rsidR="00693A3D" w:rsidRPr="00693A3D">
        <w:rPr>
          <w:b/>
          <w:bCs/>
          <w:i/>
          <w:iCs/>
          <w:sz w:val="20"/>
          <w:szCs w:val="20"/>
        </w:rPr>
        <w:t xml:space="preserve"> de</w:t>
      </w:r>
      <w:r w:rsidR="00DC322A">
        <w:rPr>
          <w:b/>
          <w:bCs/>
          <w:i/>
          <w:iCs/>
          <w:sz w:val="20"/>
          <w:szCs w:val="20"/>
        </w:rPr>
        <w:t xml:space="preserve"> a</w:t>
      </w:r>
      <w:bookmarkStart w:id="0" w:name="_GoBack"/>
      <w:bookmarkEnd w:id="0"/>
      <w:r w:rsidR="00DC322A">
        <w:rPr>
          <w:b/>
          <w:bCs/>
          <w:i/>
          <w:iCs/>
          <w:sz w:val="20"/>
          <w:szCs w:val="20"/>
        </w:rPr>
        <w:t>gosto</w:t>
      </w:r>
      <w:r w:rsidR="004367F3" w:rsidRPr="00693A3D">
        <w:rPr>
          <w:b/>
          <w:bCs/>
          <w:i/>
          <w:iCs/>
          <w:sz w:val="20"/>
          <w:szCs w:val="20"/>
        </w:rPr>
        <w:t xml:space="preserve"> de 2016</w:t>
      </w:r>
      <w:r w:rsidR="00F74903" w:rsidRPr="00693A3D">
        <w:rPr>
          <w:i/>
          <w:iCs/>
          <w:sz w:val="20"/>
          <w:szCs w:val="20"/>
        </w:rPr>
        <w:t xml:space="preserve">. </w:t>
      </w:r>
    </w:p>
    <w:sectPr w:rsidR="0052538F" w:rsidRPr="0006654C" w:rsidSect="00953CA4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1B34" w14:textId="77777777" w:rsidR="00FA6A3F" w:rsidRDefault="00FA6A3F" w:rsidP="008C3120">
      <w:pPr>
        <w:spacing w:after="0" w:line="240" w:lineRule="auto"/>
      </w:pPr>
      <w:r>
        <w:separator/>
      </w:r>
    </w:p>
  </w:endnote>
  <w:endnote w:type="continuationSeparator" w:id="0">
    <w:p w14:paraId="186950BB" w14:textId="77777777" w:rsidR="00FA6A3F" w:rsidRDefault="00FA6A3F" w:rsidP="008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FBC7" w14:textId="77777777" w:rsidR="00693A3D" w:rsidRDefault="00693A3D" w:rsidP="00CF58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E7C2B2" w14:textId="77777777" w:rsidR="00693A3D" w:rsidRDefault="00693A3D" w:rsidP="00693A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55261"/>
      <w:docPartObj>
        <w:docPartGallery w:val="Page Numbers (Bottom of Page)"/>
        <w:docPartUnique/>
      </w:docPartObj>
    </w:sdtPr>
    <w:sdtEndPr/>
    <w:sdtContent>
      <w:p w14:paraId="0C296E7B" w14:textId="77644BC9" w:rsidR="001752CF" w:rsidRDefault="001752CF" w:rsidP="001752CF">
        <w:pPr>
          <w:pStyle w:val="Piedepgina"/>
        </w:pPr>
        <w:r>
          <w:t>Elaborado por: Asistente de Coordinación GIFID-ESPOL</w:t>
        </w:r>
      </w:p>
      <w:p w14:paraId="2C802A71" w14:textId="794D0348" w:rsidR="001752CF" w:rsidRDefault="001752CF" w:rsidP="001752CF">
        <w:pPr>
          <w:pStyle w:val="Piedepgina"/>
        </w:pPr>
        <w:r>
          <w:t>Revisado por: Coordinadora GIFID-ESPOL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322A" w:rsidRPr="00DC322A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14:paraId="5DF7FADE" w14:textId="65C33086" w:rsidR="002662E2" w:rsidRDefault="00693A3D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0B55" w14:textId="77777777" w:rsidR="00FA6A3F" w:rsidRDefault="00FA6A3F" w:rsidP="008C3120">
      <w:pPr>
        <w:spacing w:after="0" w:line="240" w:lineRule="auto"/>
      </w:pPr>
      <w:r>
        <w:separator/>
      </w:r>
    </w:p>
  </w:footnote>
  <w:footnote w:type="continuationSeparator" w:id="0">
    <w:p w14:paraId="3F507802" w14:textId="77777777" w:rsidR="00FA6A3F" w:rsidRDefault="00FA6A3F" w:rsidP="008C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5990" w14:textId="33C61DCE" w:rsidR="00CB3167" w:rsidRDefault="00693A3D" w:rsidP="00556D01">
    <w:pPr>
      <w:jc w:val="right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 xml:space="preserve">Propuesta de </w:t>
    </w:r>
    <w:r w:rsidRPr="00095061">
      <w:rPr>
        <w:rFonts w:ascii="Calibri" w:hAnsi="Calibri" w:cs="Arial"/>
        <w:b/>
        <w:sz w:val="20"/>
        <w:szCs w:val="20"/>
      </w:rPr>
      <w:t>Investigación coordinada por GIFID</w:t>
    </w:r>
  </w:p>
  <w:p w14:paraId="474C67FB" w14:textId="0A2E2707" w:rsidR="002662E2" w:rsidRDefault="00CB3167" w:rsidP="00556D01">
    <w:pPr>
      <w:jc w:val="right"/>
    </w:pPr>
    <w:r>
      <w:rPr>
        <w:b/>
      </w:rPr>
      <w:t>15</w:t>
    </w:r>
    <w:r w:rsidR="00693A3D" w:rsidRPr="007F432A">
      <w:rPr>
        <w:b/>
      </w:rPr>
      <w:t>/</w:t>
    </w:r>
    <w:r>
      <w:rPr>
        <w:b/>
      </w:rPr>
      <w:t>07</w:t>
    </w:r>
    <w:r w:rsidR="00693A3D" w:rsidRPr="007F432A">
      <w:rPr>
        <w:b/>
      </w:rPr>
      <w:t>/</w:t>
    </w:r>
    <w:r>
      <w:rPr>
        <w:b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AD4"/>
    <w:multiLevelType w:val="hybridMultilevel"/>
    <w:tmpl w:val="18001D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CBF"/>
    <w:multiLevelType w:val="hybridMultilevel"/>
    <w:tmpl w:val="5BDC59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5A8"/>
    <w:multiLevelType w:val="hybridMultilevel"/>
    <w:tmpl w:val="6128A024"/>
    <w:lvl w:ilvl="0" w:tplc="30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6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2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F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2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A9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460C78"/>
    <w:multiLevelType w:val="hybridMultilevel"/>
    <w:tmpl w:val="FB5219CC"/>
    <w:lvl w:ilvl="0" w:tplc="0592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E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E0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2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AE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0A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47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6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4378C0"/>
    <w:multiLevelType w:val="hybridMultilevel"/>
    <w:tmpl w:val="6B564D6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63A5"/>
    <w:multiLevelType w:val="hybridMultilevel"/>
    <w:tmpl w:val="1730DD1C"/>
    <w:lvl w:ilvl="0" w:tplc="3FEA4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E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A4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6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1E0633"/>
    <w:multiLevelType w:val="hybridMultilevel"/>
    <w:tmpl w:val="E6D89490"/>
    <w:lvl w:ilvl="0" w:tplc="FE603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6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2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F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2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A9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46"/>
    <w:rsid w:val="0006654C"/>
    <w:rsid w:val="0007636A"/>
    <w:rsid w:val="000F4BCC"/>
    <w:rsid w:val="001333BE"/>
    <w:rsid w:val="00156409"/>
    <w:rsid w:val="00174316"/>
    <w:rsid w:val="001752CF"/>
    <w:rsid w:val="00175756"/>
    <w:rsid w:val="001E0454"/>
    <w:rsid w:val="00203999"/>
    <w:rsid w:val="002662E2"/>
    <w:rsid w:val="00287F7E"/>
    <w:rsid w:val="0031759F"/>
    <w:rsid w:val="00347DDE"/>
    <w:rsid w:val="00361244"/>
    <w:rsid w:val="003A66F0"/>
    <w:rsid w:val="003B4228"/>
    <w:rsid w:val="003D328D"/>
    <w:rsid w:val="00427A3E"/>
    <w:rsid w:val="004314EA"/>
    <w:rsid w:val="004367F3"/>
    <w:rsid w:val="00455072"/>
    <w:rsid w:val="00466E58"/>
    <w:rsid w:val="00487A87"/>
    <w:rsid w:val="004A76C6"/>
    <w:rsid w:val="004E2A61"/>
    <w:rsid w:val="00511E9A"/>
    <w:rsid w:val="00520A06"/>
    <w:rsid w:val="0052538F"/>
    <w:rsid w:val="00556D01"/>
    <w:rsid w:val="005636AB"/>
    <w:rsid w:val="0058386D"/>
    <w:rsid w:val="005B4321"/>
    <w:rsid w:val="005D37A4"/>
    <w:rsid w:val="00640297"/>
    <w:rsid w:val="006513FE"/>
    <w:rsid w:val="00693A3D"/>
    <w:rsid w:val="006B305D"/>
    <w:rsid w:val="00700EB5"/>
    <w:rsid w:val="00710E32"/>
    <w:rsid w:val="00753D01"/>
    <w:rsid w:val="0075477C"/>
    <w:rsid w:val="00767A70"/>
    <w:rsid w:val="00792521"/>
    <w:rsid w:val="007E5E0D"/>
    <w:rsid w:val="008A178E"/>
    <w:rsid w:val="008A73CB"/>
    <w:rsid w:val="008C3120"/>
    <w:rsid w:val="00932B27"/>
    <w:rsid w:val="009372C4"/>
    <w:rsid w:val="0094748E"/>
    <w:rsid w:val="00953CA4"/>
    <w:rsid w:val="00982488"/>
    <w:rsid w:val="009E0C37"/>
    <w:rsid w:val="00A33F82"/>
    <w:rsid w:val="00B0499B"/>
    <w:rsid w:val="00B31799"/>
    <w:rsid w:val="00BA5C7C"/>
    <w:rsid w:val="00BB6CD3"/>
    <w:rsid w:val="00C07A46"/>
    <w:rsid w:val="00C13CF8"/>
    <w:rsid w:val="00C236BB"/>
    <w:rsid w:val="00C6000B"/>
    <w:rsid w:val="00C66F4E"/>
    <w:rsid w:val="00C7444E"/>
    <w:rsid w:val="00C832E3"/>
    <w:rsid w:val="00CB3167"/>
    <w:rsid w:val="00CF7FD8"/>
    <w:rsid w:val="00D03BDC"/>
    <w:rsid w:val="00D12D3D"/>
    <w:rsid w:val="00D47A05"/>
    <w:rsid w:val="00DC322A"/>
    <w:rsid w:val="00DD0655"/>
    <w:rsid w:val="00DD1023"/>
    <w:rsid w:val="00DD405C"/>
    <w:rsid w:val="00E6476C"/>
    <w:rsid w:val="00EA2396"/>
    <w:rsid w:val="00ED5981"/>
    <w:rsid w:val="00EF3F38"/>
    <w:rsid w:val="00F0589F"/>
    <w:rsid w:val="00F74903"/>
    <w:rsid w:val="00F9654B"/>
    <w:rsid w:val="00FA6A3F"/>
    <w:rsid w:val="00FF00B3"/>
    <w:rsid w:val="00FF6BF5"/>
    <w:rsid w:val="41D5C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6A621C"/>
  <w15:docId w15:val="{2778755C-595C-4BA3-98BC-9E01273E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3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D5981"/>
  </w:style>
  <w:style w:type="table" w:customStyle="1" w:styleId="Cuadrculadetablaclara1">
    <w:name w:val="Cuadrícula de tabla clara1"/>
    <w:basedOn w:val="Tablanormal"/>
    <w:uiPriority w:val="40"/>
    <w:rsid w:val="005838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3-nfasis51">
    <w:name w:val="Tabla de cuadrícula 3 - Énfasis 51"/>
    <w:basedOn w:val="Tablanormal"/>
    <w:uiPriority w:val="48"/>
    <w:rsid w:val="00C13C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13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C31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3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120"/>
  </w:style>
  <w:style w:type="paragraph" w:styleId="Piedepgina">
    <w:name w:val="footer"/>
    <w:basedOn w:val="Normal"/>
    <w:link w:val="PiedepginaCar"/>
    <w:uiPriority w:val="99"/>
    <w:unhideWhenUsed/>
    <w:rsid w:val="008C3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20"/>
  </w:style>
  <w:style w:type="paragraph" w:styleId="Descripcin">
    <w:name w:val="caption"/>
    <w:basedOn w:val="Normal"/>
    <w:next w:val="Normal"/>
    <w:uiPriority w:val="35"/>
    <w:unhideWhenUsed/>
    <w:qFormat/>
    <w:rsid w:val="00BA5C7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05"/>
    <w:rPr>
      <w:sz w:val="20"/>
      <w:szCs w:val="20"/>
    </w:rPr>
  </w:style>
  <w:style w:type="table" w:customStyle="1" w:styleId="Cuadrculadetablaclara10">
    <w:name w:val="Cuadrícula de tabla clara1"/>
    <w:basedOn w:val="Tablanormal"/>
    <w:uiPriority w:val="40"/>
    <w:rsid w:val="00D47A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05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9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0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4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8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29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5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7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3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6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51F5-7E72-44A4-8760-4912D728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Cuenca</dc:creator>
  <cp:keywords/>
  <dc:description/>
  <cp:lastModifiedBy>Gabriela Cuenca</cp:lastModifiedBy>
  <cp:revision>6</cp:revision>
  <dcterms:created xsi:type="dcterms:W3CDTF">2016-06-30T14:59:00Z</dcterms:created>
  <dcterms:modified xsi:type="dcterms:W3CDTF">2016-07-16T00:40:00Z</dcterms:modified>
</cp:coreProperties>
</file>